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5D" w:rsidRPr="003F3F5D" w:rsidRDefault="003F3F5D" w:rsidP="003F3F5D">
      <w:pPr>
        <w:pStyle w:val="a5"/>
        <w:rPr>
          <w:szCs w:val="28"/>
        </w:rPr>
      </w:pPr>
      <w:r w:rsidRPr="003F3F5D">
        <w:rPr>
          <w:szCs w:val="28"/>
          <w:lang w:val="ru-RU"/>
        </w:rPr>
        <w:t>«</w:t>
      </w:r>
      <w:r w:rsidRPr="003F3F5D">
        <w:rPr>
          <w:szCs w:val="28"/>
        </w:rPr>
        <w:t>Қостанай</w:t>
      </w:r>
      <w:r w:rsidR="00A44A8B">
        <w:rPr>
          <w:szCs w:val="28"/>
        </w:rPr>
        <w:t xml:space="preserve"> </w:t>
      </w:r>
      <w:r w:rsidRPr="003F3F5D">
        <w:rPr>
          <w:szCs w:val="28"/>
        </w:rPr>
        <w:t xml:space="preserve"> гуманитарлық</w:t>
      </w:r>
      <w:r w:rsidR="00A44A8B">
        <w:rPr>
          <w:szCs w:val="28"/>
        </w:rPr>
        <w:t xml:space="preserve"> </w:t>
      </w:r>
      <w:r w:rsidRPr="003F3F5D">
        <w:rPr>
          <w:szCs w:val="28"/>
        </w:rPr>
        <w:t xml:space="preserve"> колледж</w:t>
      </w:r>
      <w:r w:rsidRPr="003F3F5D">
        <w:rPr>
          <w:szCs w:val="28"/>
          <w:lang w:val="ru-RU"/>
        </w:rPr>
        <w:t xml:space="preserve">» </w:t>
      </w:r>
      <w:r w:rsidR="00A44A8B">
        <w:rPr>
          <w:szCs w:val="28"/>
          <w:lang w:val="ru-RU"/>
        </w:rPr>
        <w:t xml:space="preserve"> </w:t>
      </w:r>
      <w:proofErr w:type="spellStart"/>
      <w:r w:rsidRPr="003F3F5D">
        <w:rPr>
          <w:szCs w:val="28"/>
          <w:lang w:val="ru-RU"/>
        </w:rPr>
        <w:t>мекемес</w:t>
      </w:r>
      <w:proofErr w:type="spellEnd"/>
      <w:r w:rsidRPr="003F3F5D">
        <w:rPr>
          <w:szCs w:val="28"/>
        </w:rPr>
        <w:t>і</w:t>
      </w:r>
    </w:p>
    <w:p w:rsidR="003F3F5D" w:rsidRPr="003F3F5D" w:rsidRDefault="003F3F5D" w:rsidP="003F3F5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F3F5D">
        <w:rPr>
          <w:rFonts w:ascii="Times New Roman" w:hAnsi="Times New Roman" w:cs="Times New Roman"/>
          <w:sz w:val="28"/>
          <w:szCs w:val="28"/>
        </w:rPr>
        <w:t>Учреждение</w:t>
      </w:r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r w:rsidRPr="003F3F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3F5D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r w:rsidRPr="003F3F5D">
        <w:rPr>
          <w:rFonts w:ascii="Times New Roman" w:hAnsi="Times New Roman" w:cs="Times New Roman"/>
          <w:sz w:val="28"/>
          <w:szCs w:val="28"/>
          <w:lang w:val="kk-KZ"/>
        </w:rPr>
        <w:t>гуманитарный</w:t>
      </w:r>
      <w:r w:rsidRPr="003F3F5D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3F3F5D" w:rsidRPr="003F3F5D" w:rsidRDefault="003F3F5D" w:rsidP="003F3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F5D" w:rsidRPr="003F3F5D" w:rsidRDefault="00CC741D" w:rsidP="003F3F5D">
      <w:pPr>
        <w:pStyle w:val="3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3F3F5D" w:rsidRPr="003F3F5D">
        <w:rPr>
          <w:sz w:val="24"/>
          <w:szCs w:val="24"/>
          <w:lang w:val="kk-KZ"/>
        </w:rPr>
        <w:t>Б Е К І Т Е М І Н</w:t>
      </w:r>
    </w:p>
    <w:p w:rsidR="003F3F5D" w:rsidRPr="003F3F5D" w:rsidRDefault="003F3F5D" w:rsidP="003F3F5D">
      <w:pPr>
        <w:pStyle w:val="1"/>
        <w:rPr>
          <w:sz w:val="24"/>
          <w:szCs w:val="24"/>
          <w:lang w:val="kk-KZ"/>
        </w:rPr>
      </w:pPr>
      <w:r w:rsidRPr="003F3F5D">
        <w:rPr>
          <w:sz w:val="24"/>
          <w:szCs w:val="24"/>
        </w:rPr>
        <w:t xml:space="preserve">                                                                                                      У Т В Е Р Ж Д А Ю</w:t>
      </w:r>
    </w:p>
    <w:p w:rsidR="003F3F5D" w:rsidRPr="003F3F5D" w:rsidRDefault="003F3F5D" w:rsidP="003F3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F3F5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Гуманитарлық колледжінің директоры</w:t>
      </w:r>
    </w:p>
    <w:p w:rsidR="003F3F5D" w:rsidRPr="003F3F5D" w:rsidRDefault="003F3F5D" w:rsidP="003F3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Директор гуманитарного колледжа </w:t>
      </w:r>
    </w:p>
    <w:p w:rsidR="003F3F5D" w:rsidRPr="003F3F5D" w:rsidRDefault="003F3F5D" w:rsidP="003F3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F3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</w:t>
      </w:r>
      <w:r w:rsidRPr="003F3F5D">
        <w:rPr>
          <w:rFonts w:ascii="Times New Roman" w:hAnsi="Times New Roman" w:cs="Times New Roman"/>
          <w:sz w:val="24"/>
          <w:szCs w:val="24"/>
          <w:lang w:val="kk-KZ"/>
        </w:rPr>
        <w:t>А.Байешов</w:t>
      </w:r>
    </w:p>
    <w:p w:rsidR="003F3F5D" w:rsidRDefault="003F3F5D" w:rsidP="003F3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«_____» _______________201</w:t>
      </w:r>
      <w:r w:rsidRPr="003F3F5D">
        <w:rPr>
          <w:rFonts w:ascii="Times New Roman" w:hAnsi="Times New Roman" w:cs="Times New Roman"/>
          <w:sz w:val="24"/>
          <w:szCs w:val="24"/>
          <w:lang w:val="kk-KZ"/>
        </w:rPr>
        <w:t>7ж/</w:t>
      </w:r>
      <w:r w:rsidRPr="003F3F5D">
        <w:rPr>
          <w:rFonts w:ascii="Times New Roman" w:hAnsi="Times New Roman" w:cs="Times New Roman"/>
          <w:sz w:val="24"/>
          <w:szCs w:val="24"/>
        </w:rPr>
        <w:t>г.</w:t>
      </w:r>
    </w:p>
    <w:p w:rsidR="002618FC" w:rsidRDefault="002618FC" w:rsidP="003F3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8FC" w:rsidRPr="003F3F5D" w:rsidRDefault="002618FC" w:rsidP="003F3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8FC" w:rsidRPr="002618FC" w:rsidRDefault="002618FC" w:rsidP="00261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F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Қостанай</w:t>
      </w:r>
      <w:proofErr w:type="spellEnd"/>
      <w:r w:rsidR="000319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гуманитарлық</w:t>
      </w:r>
      <w:proofErr w:type="spellEnd"/>
      <w:r w:rsidR="000319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C7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колледжі</w:t>
      </w:r>
      <w:proofErr w:type="spellEnd"/>
      <w:r w:rsidRPr="002618FC">
        <w:rPr>
          <w:rFonts w:ascii="Times New Roman" w:hAnsi="Times New Roman" w:cs="Times New Roman"/>
          <w:b/>
          <w:sz w:val="28"/>
          <w:szCs w:val="28"/>
        </w:rPr>
        <w:t>»</w:t>
      </w:r>
      <w:r w:rsidR="000319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C7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мекемесінің</w:t>
      </w:r>
      <w:proofErr w:type="spellEnd"/>
      <w:r w:rsidR="000319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оқытушылары</w:t>
      </w:r>
      <w:proofErr w:type="spellEnd"/>
      <w:r w:rsidR="0019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="0019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пәндерінің</w:t>
      </w:r>
      <w:proofErr w:type="spellEnd"/>
      <w:r w:rsidR="0019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2618FC">
        <w:rPr>
          <w:rFonts w:ascii="Times New Roman" w:hAnsi="Times New Roman" w:cs="Times New Roman"/>
          <w:b/>
          <w:sz w:val="28"/>
          <w:szCs w:val="28"/>
        </w:rPr>
        <w:t>-</w:t>
      </w:r>
      <w:r w:rsidR="00201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әдістемелік</w:t>
      </w:r>
      <w:proofErr w:type="spellEnd"/>
      <w:r w:rsidR="00A44A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кешендерін</w:t>
      </w:r>
      <w:proofErr w:type="spellEnd"/>
      <w:r w:rsidR="0019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әзірлеу</w:t>
      </w:r>
      <w:proofErr w:type="spellEnd"/>
      <w:r w:rsidR="00A44A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2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2618FC" w:rsidRPr="002618FC" w:rsidRDefault="002618FC" w:rsidP="002618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Ереже</w:t>
      </w:r>
      <w:proofErr w:type="spellEnd"/>
    </w:p>
    <w:p w:rsidR="002618FC" w:rsidRPr="002618FC" w:rsidRDefault="002618FC" w:rsidP="002618FC">
      <w:pPr>
        <w:rPr>
          <w:rFonts w:ascii="Times New Roman" w:hAnsi="Times New Roman" w:cs="Times New Roman"/>
          <w:b/>
          <w:sz w:val="28"/>
          <w:szCs w:val="28"/>
        </w:rPr>
      </w:pPr>
      <w:r w:rsidRPr="002618FC">
        <w:rPr>
          <w:rFonts w:ascii="Times New Roman" w:hAnsi="Times New Roman" w:cs="Times New Roman"/>
          <w:b/>
          <w:sz w:val="28"/>
          <w:szCs w:val="28"/>
        </w:rPr>
        <w:t xml:space="preserve">1.    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="00CC74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:rsidR="002618FC" w:rsidRPr="002618FC" w:rsidRDefault="00CC741D" w:rsidP="0026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Осы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кәсі</w:t>
      </w:r>
      <w:proofErr w:type="gramStart"/>
      <w:r w:rsidR="002618FC" w:rsidRPr="002618FC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2618FC" w:rsidRPr="002618FC"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мамандықтары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пәндерінің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кешендерін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ресімдеуге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="002618FC" w:rsidRPr="002618FC">
        <w:rPr>
          <w:rFonts w:ascii="Times New Roman" w:hAnsi="Times New Roman" w:cs="Times New Roman"/>
          <w:sz w:val="28"/>
          <w:szCs w:val="28"/>
        </w:rPr>
        <w:t>.</w:t>
      </w:r>
    </w:p>
    <w:p w:rsidR="002618FC" w:rsidRPr="002618FC" w:rsidRDefault="002618FC" w:rsidP="002618FC">
      <w:pPr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әнінің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кешені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бітірушілердің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барынша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азайтуға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p w:rsidR="002618FC" w:rsidRPr="002618FC" w:rsidRDefault="002618FC" w:rsidP="002618FC">
      <w:pPr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әнінің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-</w:t>
      </w:r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кешені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пәнді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студенттерді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дайындауға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пәнінің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семинарлық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зертханалық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әзірлемелер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,</w:t>
      </w:r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үші</w:t>
      </w:r>
      <w:r w:rsidR="0087658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58A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="0087658A">
        <w:rPr>
          <w:rFonts w:ascii="Times New Roman" w:hAnsi="Times New Roman" w:cs="Times New Roman"/>
          <w:sz w:val="28"/>
          <w:szCs w:val="28"/>
        </w:rPr>
        <w:t xml:space="preserve">, </w:t>
      </w:r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58A">
        <w:rPr>
          <w:rFonts w:ascii="Times New Roman" w:hAnsi="Times New Roman" w:cs="Times New Roman"/>
          <w:sz w:val="28"/>
          <w:szCs w:val="28"/>
        </w:rPr>
        <w:t>бақылау-бағалау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58A">
        <w:rPr>
          <w:rFonts w:ascii="Times New Roman" w:hAnsi="Times New Roman" w:cs="Times New Roman"/>
          <w:sz w:val="28"/>
          <w:szCs w:val="28"/>
        </w:rPr>
        <w:t>қ</w:t>
      </w:r>
      <w:r w:rsidRPr="002618FC">
        <w:rPr>
          <w:rFonts w:ascii="Times New Roman" w:hAnsi="Times New Roman" w:cs="Times New Roman"/>
          <w:sz w:val="28"/>
          <w:szCs w:val="28"/>
        </w:rPr>
        <w:t>ұралдары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,</w:t>
      </w:r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2618FC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ісін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p w:rsidR="002618FC" w:rsidRPr="002618FC" w:rsidRDefault="002618FC" w:rsidP="002618FC">
      <w:pPr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стандарттарында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бірліктердің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жоспарлары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сағаттар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жоспарлардың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ұсқаларын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p w:rsidR="002618FC" w:rsidRPr="002618FC" w:rsidRDefault="002618FC" w:rsidP="002618FC">
      <w:pPr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әнінің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кешенінің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</w:p>
    <w:p w:rsidR="002618FC" w:rsidRPr="002618FC" w:rsidRDefault="002618FC" w:rsidP="002618FC">
      <w:pPr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кешен</w:t>
      </w:r>
      <w:proofErr w:type="spellEnd"/>
      <w:r w:rsidR="0087658A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CC74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2618FC">
        <w:rPr>
          <w:rFonts w:ascii="Times New Roman" w:hAnsi="Times New Roman" w:cs="Times New Roman"/>
          <w:sz w:val="28"/>
          <w:szCs w:val="28"/>
        </w:rPr>
        <w:t>:</w:t>
      </w:r>
    </w:p>
    <w:p w:rsidR="002618FC" w:rsidRPr="002618FC" w:rsidRDefault="002618FC" w:rsidP="002618FC">
      <w:pPr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титул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;</w:t>
      </w:r>
    </w:p>
    <w:p w:rsidR="002618FC" w:rsidRPr="002618FC" w:rsidRDefault="002618FC" w:rsidP="002618FC">
      <w:pPr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түсіндірме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;</w:t>
      </w:r>
    </w:p>
    <w:p w:rsidR="002618FC" w:rsidRPr="002618FC" w:rsidRDefault="002618FC" w:rsidP="002618FC">
      <w:pPr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;</w:t>
      </w:r>
    </w:p>
    <w:p w:rsidR="002618FC" w:rsidRPr="002618FC" w:rsidRDefault="002618FC" w:rsidP="002618FC">
      <w:pPr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әнінің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;</w:t>
      </w:r>
    </w:p>
    <w:p w:rsidR="002618FC" w:rsidRPr="002618FC" w:rsidRDefault="002618FC" w:rsidP="002618FC">
      <w:pPr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семинарлық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</w:t>
      </w:r>
      <w:r w:rsidR="0087658A">
        <w:rPr>
          <w:rFonts w:ascii="Times New Roman" w:hAnsi="Times New Roman" w:cs="Times New Roman"/>
          <w:sz w:val="28"/>
          <w:szCs w:val="28"/>
        </w:rPr>
        <w:t>ағдарламасы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;</w:t>
      </w:r>
    </w:p>
    <w:p w:rsidR="003F3F5D" w:rsidRPr="002618FC" w:rsidRDefault="002618FC" w:rsidP="002618FC">
      <w:pPr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жоспарында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="00CC7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);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зертханалық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сабақтар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бағдарламасы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егер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зертханалық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сабақтар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жоспарында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қарастырылған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болса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студенттердің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өзінді</w:t>
      </w:r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ұмысына</w:t>
      </w:r>
      <w:proofErr w:type="spellEnd"/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арналған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тапсырмалар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87658A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бақылау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бағалау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қ</w:t>
      </w:r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ұралдары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рефераттардың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курстық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біліктілік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жұмыстардың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жобалардың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ұсынылатын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тақырыптары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курстық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бітіру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біліктілік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жұмыстарының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тақырыптары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педагогика,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психология,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жеке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әдістемелер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әндері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үшін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ұсынылады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әдебиеттер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тізімі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техникалық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оқыту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құралдарының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тізімі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Титул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парағы</w:t>
      </w:r>
      <w:proofErr w:type="spellEnd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нда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болуы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тиіс</w:t>
      </w:r>
      <w:proofErr w:type="spellEnd"/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орнының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атауы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("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Қо</w:t>
      </w:r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станай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гуманитарлық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колледжі</w:t>
      </w:r>
      <w:proofErr w:type="spellEnd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gramStart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жолдың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жақ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ұрышында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ісі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жөніндегі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директордың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орынбасары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бекітемін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әнінің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атауы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әнінің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әдістемелік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кешенінің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орта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кәсіптік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білім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беру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мамандығына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мамандықтар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тобына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тиістілігі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орта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кәсіптік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білімдеңгейіне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қатысты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нұсқаулар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құжаттыңатауы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әдістемелік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кешен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87658A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жолдың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сол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жақ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бұрышында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ӘК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төрағасының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қолы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мен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келісілді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7658A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жолға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қарам</w:t>
      </w:r>
      <w:proofErr w:type="gramStart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қарсы</w:t>
      </w:r>
      <w:proofErr w:type="spellEnd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ЦӘК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отырысында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қаралған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мақұлданған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Хаттама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</w:t>
      </w:r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күні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әдістемелік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кешеннің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әзірленген</w:t>
      </w:r>
      <w:proofErr w:type="spellEnd"/>
      <w:r w:rsidR="00CC74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жылы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Титул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парағының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сыртқы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беті</w:t>
      </w:r>
      <w:proofErr w:type="spellEnd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жазба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мамандық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үшін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бітірушілердің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дайындық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>деңгейі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 </w:t>
      </w:r>
      <w:proofErr w:type="spellStart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>мазмұныны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ң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аз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Мемлекеттік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талаптарға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сәйкес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жасалған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мамандықтар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тобы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)»;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автор,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ішкі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сыртқы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рецензент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туралы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мәліметтер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Түсіндірме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жазбаның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құрылымы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 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маманды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даярлау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құрылымындағы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әнінің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орны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оның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рөлі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мақсаты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ерекшеліктері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негізгі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Кәсіптік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білім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беру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бағдарламасының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құрылымында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пәнінің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циклге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қатыстылығы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көрсетіледі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Жалпы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гуманитарлық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әлеуметтік-экономикалық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пәндер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циклы,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математикалық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жалпы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жаратылыстану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ғылымдары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пәндері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циклы,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жалпы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кәсі</w:t>
      </w:r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пт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ік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пәндер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циклы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немесе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пәндік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дайындық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пәндері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циклы),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оның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мамандарды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даярлаудағы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рөлі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көрсетіледі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пәнінің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мақсаты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қысқаша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сипаттама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беріледі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оның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ерекшеліктері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ашылады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.);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әнді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оқып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үйренгеннен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кейін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студент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білуі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тиіс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түсінік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білім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білік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аралық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байланыс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>әндерін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нтеграциялау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құрылымының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негіздемесі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егер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тип</w:t>
      </w:r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тік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бағдарламадан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өзгеше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7658A">
        <w:rPr>
          <w:rFonts w:ascii="Times New Roman" w:eastAsia="Times New Roman" w:hAnsi="Times New Roman" w:cs="Times New Roman"/>
          <w:color w:val="333333"/>
          <w:sz w:val="28"/>
          <w:szCs w:val="28"/>
        </w:rPr>
        <w:t>болса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Default="002618FC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18FC" w:rsidRPr="002618FC" w:rsidRDefault="00AE5CB5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ү</w:t>
      </w:r>
      <w:proofErr w:type="gram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дер</w:t>
      </w:r>
      <w:proofErr w:type="gram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ісін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ұйымдастырудың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ерекшеліктері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оқыту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бақылаудың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қолайлы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түрлері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қорытынды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бақылауды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ұйымдастыру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формалары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бақылау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жұмысы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сынақ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емтихан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шығармашылық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жұмыс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курстық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біліктілі</w:t>
      </w:r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spellEnd"/>
      <w:proofErr w:type="gram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жұмысы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қорытынды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мемлекеттік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емтихан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Оқытушы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</w:t>
      </w:r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уматериалын</w:t>
      </w:r>
      <w:proofErr w:type="spellEnd"/>
      <w:proofErr w:type="gram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оқытудың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мазмұны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дәйектілігін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қалыптастыруға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сағаттарын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бөлімдер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тақырыптар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бойынша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бөлуге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құқылы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18FC" w:rsidRPr="002618FC" w:rsidRDefault="002618FC" w:rsidP="00AE5CB5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әнінің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>мазмұны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қ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ты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мамандық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бойынша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маманның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дайындық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деңгейіне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қойылатын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жалпы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талаптарды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пәнді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кезінде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студент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меңгеруі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тиіс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негізгі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білім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мен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іскерлікті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ескере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отырып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әзірленеді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әнін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оқытуды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кіріспеден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кіріспе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сабақтан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бастау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керек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онда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Пәннің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сипаттамасы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беріледі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алған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білім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жүйесіндегі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орны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рөлі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басқа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пәндері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мен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байланысы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ашылады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әнінің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әрбір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тақырыбы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бөлімі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бойынша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тақырыптың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бөлімнің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нөмі</w:t>
      </w:r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атауы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студенттердің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</w:t>
      </w:r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імі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мен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біліміне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қойылатын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жалпы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талаптар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материалының</w:t>
      </w:r>
      <w:proofErr w:type="spellEnd"/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мазмұны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дидактикалық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бірліктер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негізгі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ұғымдар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Мәтінде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ғылымның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нақты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саласына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қатысты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ұғымдар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терминдер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ғана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пайдаланылуы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тиіс</w:t>
      </w:r>
      <w:proofErr w:type="spellEnd"/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Белгілер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өлшембірліктері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 б.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Мемлекеттік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стандарттардың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талаптарына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жауап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беруі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тиіс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2.5.Тақырыптық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жоспар</w:t>
      </w:r>
      <w:proofErr w:type="spellEnd"/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</w:t>
      </w:r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spellEnd"/>
      <w:proofErr w:type="gramEnd"/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мамандық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үшін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беріледі</w:t>
      </w:r>
      <w:proofErr w:type="spell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18FC" w:rsidRDefault="0087658A" w:rsidP="002618F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Тақырыптық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бағдарламаның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бөлімдері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тақырыптарын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зерттеу</w:t>
      </w:r>
      <w:proofErr w:type="spellEnd"/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реті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көрсетіледі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аудиториялық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сабақтар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дә</w:t>
      </w:r>
      <w:proofErr w:type="gram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іс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семинар,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практикалық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зертханалық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сабақтар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сонымен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қатар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студенттердің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өзіндік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жұмыстары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кесте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есебінен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пәннің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бөлімдері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тақырыптары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бойынша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сағаттарының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бөлінуі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көрсетіледі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1).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Ең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жоғарғы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жү</w:t>
      </w:r>
      <w:proofErr w:type="gram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ктемес</w:t>
      </w:r>
      <w:proofErr w:type="gram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жоспары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мен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аудиториялық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сабақтарға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өзіндік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жұмысқа</w:t>
      </w:r>
      <w:proofErr w:type="spellEnd"/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бөлінген</w:t>
      </w:r>
      <w:proofErr w:type="spellEnd"/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сағаттарды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қамтиды</w:t>
      </w:r>
      <w:proofErr w:type="spellEnd"/>
      <w:r w:rsidR="002618FC"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18FC" w:rsidRDefault="002618FC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E26F4" w:rsidRPr="00B9762A" w:rsidRDefault="002618FC" w:rsidP="00B9762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1-кесте.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Оқу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proofErr w:type="gram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әнінің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тақырыптық</w:t>
      </w:r>
      <w:proofErr w:type="spellEnd"/>
      <w:r w:rsidR="00AE5CB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A44A8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eastAsia="Times New Roman" w:hAnsi="Times New Roman" w:cs="Times New Roman"/>
          <w:color w:val="333333"/>
          <w:sz w:val="28"/>
          <w:szCs w:val="28"/>
        </w:rPr>
        <w:t>жоспары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9"/>
        <w:gridCol w:w="1914"/>
        <w:gridCol w:w="1595"/>
        <w:gridCol w:w="1595"/>
        <w:gridCol w:w="1512"/>
        <w:gridCol w:w="1801"/>
      </w:tblGrid>
      <w:tr w:rsidR="001504B3" w:rsidRPr="00B9762A" w:rsidTr="002618F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E26F4" w:rsidRPr="00B9762A" w:rsidRDefault="002618FC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Бөлімдер</w:t>
            </w:r>
            <w:proofErr w:type="spellEnd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мен</w:t>
            </w:r>
            <w:proofErr w:type="gram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</w:t>
            </w:r>
            <w:proofErr w:type="gramEnd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ақырыптардың</w:t>
            </w:r>
            <w:proofErr w:type="spell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r w:rsidR="00A44A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CE26F4" w:rsidRPr="00B9762A" w:rsidRDefault="002618FC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Макс.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оқу</w:t>
            </w:r>
            <w:proofErr w:type="spellEnd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Студенттің</w:t>
            </w:r>
            <w:proofErr w:type="spell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жүктемесі</w:t>
            </w:r>
            <w:proofErr w:type="spellEnd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сағат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CE26F4" w:rsidRPr="00B9762A" w:rsidRDefault="002618FC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Күндізгі</w:t>
            </w:r>
            <w:proofErr w:type="spell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оқу</w:t>
            </w:r>
            <w:proofErr w:type="spell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нысаны</w:t>
            </w:r>
            <w:proofErr w:type="spell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бойынша</w:t>
            </w:r>
            <w:proofErr w:type="spell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аудиториялық</w:t>
            </w:r>
            <w:proofErr w:type="spell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сағат</w:t>
            </w:r>
            <w:proofErr w:type="spellEnd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саны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26F4" w:rsidRPr="00B9762A" w:rsidRDefault="001504B3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Студенттердің</w:t>
            </w:r>
            <w:proofErr w:type="spell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өзді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жұмысы</w:t>
            </w:r>
            <w:proofErr w:type="spellEnd"/>
          </w:p>
        </w:tc>
      </w:tr>
      <w:tr w:rsidR="001504B3" w:rsidRPr="00B9762A" w:rsidTr="003F3F5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6F4" w:rsidRPr="00B9762A" w:rsidRDefault="002618FC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Дә</w:t>
            </w:r>
            <w:proofErr w:type="gram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</w:t>
            </w:r>
            <w:proofErr w:type="gramEnd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іс</w:t>
            </w:r>
            <w:proofErr w:type="spell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және</w:t>
            </w:r>
            <w:proofErr w:type="spellEnd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семинар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сабақтары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6F4" w:rsidRPr="00B9762A" w:rsidRDefault="002618FC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Дә</w:t>
            </w:r>
            <w:proofErr w:type="gram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</w:t>
            </w:r>
            <w:proofErr w:type="gramEnd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іс</w:t>
            </w:r>
            <w:proofErr w:type="spell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және</w:t>
            </w:r>
            <w:proofErr w:type="spellEnd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семинар </w:t>
            </w:r>
            <w:proofErr w:type="spellStart"/>
            <w:r w:rsidRPr="002618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сабақтары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6F4" w:rsidRPr="00B9762A" w:rsidRDefault="002618FC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Практикалық</w:t>
            </w:r>
            <w:proofErr w:type="spellEnd"/>
            <w:r w:rsidR="000319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сабақтар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504B3" w:rsidRPr="00B9762A" w:rsidTr="003F3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6F4" w:rsidRPr="00B9762A" w:rsidRDefault="00CE26F4" w:rsidP="00B9762A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9762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</w:tbl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2.5. Семинар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сабақтарының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семинар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сабағы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: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 xml:space="preserve"> мен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нөмі</w:t>
      </w:r>
      <w:proofErr w:type="gramStart"/>
      <w:r w:rsidRPr="002618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талқ</w:t>
      </w:r>
      <w:proofErr w:type="gramStart"/>
      <w:r w:rsidRPr="002618FC">
        <w:rPr>
          <w:rFonts w:ascii="Times New Roman" w:hAnsi="Times New Roman" w:cs="Times New Roman"/>
          <w:sz w:val="28"/>
          <w:szCs w:val="28"/>
        </w:rPr>
        <w:t>ылау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қажеттілігіне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);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тақырыптары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);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Семинар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әнінің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тақырыптары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бөлімдері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топтастырылуы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толассыз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нөмірленуін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(2.6-бөлімнің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>мен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2618F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: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 xml:space="preserve">мен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нөмі</w:t>
      </w:r>
      <w:proofErr w:type="gramStart"/>
      <w:r w:rsidRPr="002618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тапсырмалардың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үлгілі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2618FC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мекемелеріндегі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көрсеткіш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сабақтарының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байқау-сабақтарының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тақырыптарын</w:t>
      </w:r>
      <w:proofErr w:type="spellEnd"/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көрсеткіш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сабақтарына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көзделетін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).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8FC">
        <w:rPr>
          <w:rFonts w:ascii="Times New Roman" w:hAnsi="Times New Roman" w:cs="Times New Roman"/>
          <w:sz w:val="28"/>
          <w:szCs w:val="28"/>
        </w:rPr>
        <w:lastRenderedPageBreak/>
        <w:t>Практикалық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әнінің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тақырыптары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бөлімдері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топтастырылуы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толассыз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нөмірленуін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p w:rsidR="002618FC" w:rsidRPr="000319D1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Зертханалық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(2.7-бөлімнің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>мен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).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Әрбі</w:t>
      </w:r>
      <w:proofErr w:type="gramStart"/>
      <w:r w:rsidRPr="000319D1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Зертханалық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сабақ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бойынша:</w:t>
      </w:r>
    </w:p>
    <w:p w:rsidR="002618FC" w:rsidRPr="000319D1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19D1">
        <w:rPr>
          <w:rFonts w:ascii="Times New Roman" w:hAnsi="Times New Roman" w:cs="Times New Roman"/>
          <w:sz w:val="28"/>
          <w:szCs w:val="28"/>
          <w:lang w:val="kk-KZ"/>
        </w:rPr>
        <w:t>- Сабақтың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 xml:space="preserve">тақырыбы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нөмірі</w:t>
      </w:r>
    </w:p>
    <w:p w:rsidR="002618FC" w:rsidRPr="000319D1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19D1">
        <w:rPr>
          <w:rFonts w:ascii="Times New Roman" w:hAnsi="Times New Roman" w:cs="Times New Roman"/>
          <w:sz w:val="28"/>
          <w:szCs w:val="28"/>
          <w:lang w:val="kk-KZ"/>
        </w:rPr>
        <w:t>- сабаққа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дайындалу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 xml:space="preserve">сұрақтары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(қайталау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үшін)</w:t>
      </w:r>
    </w:p>
    <w:p w:rsidR="002618FC" w:rsidRPr="000319D1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19D1">
        <w:rPr>
          <w:rFonts w:ascii="Times New Roman" w:hAnsi="Times New Roman" w:cs="Times New Roman"/>
          <w:sz w:val="28"/>
          <w:szCs w:val="28"/>
          <w:lang w:val="kk-KZ"/>
        </w:rPr>
        <w:t>- зертханалық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жұмыстың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мазмұны</w:t>
      </w:r>
    </w:p>
    <w:p w:rsidR="002618FC" w:rsidRPr="000319D1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19D1">
        <w:rPr>
          <w:rFonts w:ascii="Times New Roman" w:hAnsi="Times New Roman" w:cs="Times New Roman"/>
          <w:sz w:val="28"/>
          <w:szCs w:val="28"/>
          <w:lang w:val="kk-KZ"/>
        </w:rPr>
        <w:t>- орындауға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19D1">
        <w:rPr>
          <w:rFonts w:ascii="Times New Roman" w:hAnsi="Times New Roman" w:cs="Times New Roman"/>
          <w:sz w:val="28"/>
          <w:szCs w:val="28"/>
          <w:lang w:val="kk-KZ"/>
        </w:rPr>
        <w:t>нұсқаулық</w:t>
      </w:r>
    </w:p>
    <w:p w:rsidR="002618FC" w:rsidRPr="00201EFD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EFD">
        <w:rPr>
          <w:rFonts w:ascii="Times New Roman" w:hAnsi="Times New Roman" w:cs="Times New Roman"/>
          <w:sz w:val="28"/>
          <w:szCs w:val="28"/>
          <w:lang w:val="kk-KZ"/>
        </w:rPr>
        <w:t>– құрал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жабдықтар</w:t>
      </w:r>
    </w:p>
    <w:p w:rsidR="002618FC" w:rsidRPr="00201EFD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EFD">
        <w:rPr>
          <w:rFonts w:ascii="Times New Roman" w:hAnsi="Times New Roman" w:cs="Times New Roman"/>
          <w:sz w:val="28"/>
          <w:szCs w:val="28"/>
          <w:lang w:val="kk-KZ"/>
        </w:rPr>
        <w:t>әдебиеттер</w:t>
      </w:r>
    </w:p>
    <w:p w:rsidR="002618FC" w:rsidRPr="00201EFD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EFD">
        <w:rPr>
          <w:rFonts w:ascii="Times New Roman" w:hAnsi="Times New Roman" w:cs="Times New Roman"/>
          <w:sz w:val="28"/>
          <w:szCs w:val="28"/>
          <w:lang w:val="kk-KZ"/>
        </w:rPr>
        <w:t>Зертханалық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сабақтар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пәнінің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тақырыптары (бөлімдері) бойынша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топтастырылуы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тиіс, бұл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ретте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сабақтардың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толассыз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нөмірленуін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сақтау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қажет.</w:t>
      </w:r>
    </w:p>
    <w:p w:rsidR="002618FC" w:rsidRPr="00201EFD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EFD">
        <w:rPr>
          <w:rFonts w:ascii="Times New Roman" w:hAnsi="Times New Roman" w:cs="Times New Roman"/>
          <w:sz w:val="28"/>
          <w:szCs w:val="28"/>
          <w:lang w:val="kk-KZ"/>
        </w:rPr>
        <w:t>2.8. Студенттердің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өзіндік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жұмысына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тапсырмалар. Оқу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пәнінің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әрбір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тақырыбы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бойынша:</w:t>
      </w:r>
    </w:p>
    <w:p w:rsidR="002618FC" w:rsidRPr="00201EFD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EFD">
        <w:rPr>
          <w:rFonts w:ascii="Times New Roman" w:hAnsi="Times New Roman" w:cs="Times New Roman"/>
          <w:sz w:val="28"/>
          <w:szCs w:val="28"/>
          <w:lang w:val="kk-KZ"/>
        </w:rPr>
        <w:t>- тапсырмалардың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 xml:space="preserve">мазмұны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түрлері;</w:t>
      </w:r>
    </w:p>
    <w:p w:rsidR="002618FC" w:rsidRPr="00201EFD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EFD">
        <w:rPr>
          <w:rFonts w:ascii="Times New Roman" w:hAnsi="Times New Roman" w:cs="Times New Roman"/>
          <w:sz w:val="28"/>
          <w:szCs w:val="28"/>
          <w:lang w:val="kk-KZ"/>
        </w:rPr>
        <w:t>- орындау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ұсыныстар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 xml:space="preserve"> (қажет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болған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жағдайда);</w:t>
      </w:r>
    </w:p>
    <w:p w:rsidR="002618FC" w:rsidRPr="00201EFD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EFD">
        <w:rPr>
          <w:rFonts w:ascii="Times New Roman" w:hAnsi="Times New Roman" w:cs="Times New Roman"/>
          <w:sz w:val="28"/>
          <w:szCs w:val="28"/>
          <w:lang w:val="kk-KZ"/>
        </w:rPr>
        <w:t>- әдебиет.</w:t>
      </w:r>
    </w:p>
    <w:p w:rsidR="002618FC" w:rsidRPr="00201EFD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EFD">
        <w:rPr>
          <w:rFonts w:ascii="Times New Roman" w:hAnsi="Times New Roman" w:cs="Times New Roman"/>
          <w:sz w:val="28"/>
          <w:szCs w:val="28"/>
          <w:lang w:val="kk-KZ"/>
        </w:rPr>
        <w:t>2.9. "Бақылау-бағалау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 xml:space="preserve">Құралдары"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бөлімі:</w:t>
      </w:r>
    </w:p>
    <w:p w:rsidR="002618FC" w:rsidRPr="00201EFD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EFD">
        <w:rPr>
          <w:rFonts w:ascii="Times New Roman" w:hAnsi="Times New Roman" w:cs="Times New Roman"/>
          <w:sz w:val="28"/>
          <w:szCs w:val="28"/>
          <w:lang w:val="kk-KZ"/>
        </w:rPr>
        <w:t>- тақырыптық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тексеру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жұмыстарының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үлгі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1EFD">
        <w:rPr>
          <w:rFonts w:ascii="Times New Roman" w:hAnsi="Times New Roman" w:cs="Times New Roman"/>
          <w:sz w:val="28"/>
          <w:szCs w:val="28"/>
          <w:lang w:val="kk-KZ"/>
        </w:rPr>
        <w:t>мазмұны;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сынаққа</w:t>
      </w:r>
      <w:proofErr w:type="spellEnd"/>
      <w:proofErr w:type="gramStart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емтиханға</w:t>
      </w:r>
      <w:proofErr w:type="spellEnd"/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 xml:space="preserve"> мен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;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аттестаттау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аттестаттауға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әндер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).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>2.8. "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Рефераттардың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курстық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жобаларының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тақырыптары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курстық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біліктілі</w:t>
      </w:r>
      <w:proofErr w:type="gramStart"/>
      <w:r w:rsidRPr="002618F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жобаларының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тақырыптары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>2.9. "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оқулықтар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2618FC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</w:rPr>
        <w:t>–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библиографиялық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ережелеріне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A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ресімделеді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>2.10. "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дыбыстау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>-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компьютерлік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телекоммуникациялық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құралдарының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2618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іледі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құралдарының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атауынан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шығаратын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жылын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p w:rsidR="002618FC" w:rsidRPr="002618FC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618FC">
        <w:rPr>
          <w:rFonts w:ascii="Times New Roman" w:hAnsi="Times New Roman" w:cs="Times New Roman"/>
          <w:sz w:val="28"/>
          <w:szCs w:val="28"/>
        </w:rPr>
        <w:t xml:space="preserve">2.11.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</w:rPr>
        <w:t>–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кешенде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Мультимедиялық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презентациялар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теориялы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қматериалдар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8FC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қосымшалар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p w:rsidR="00671BBD" w:rsidRPr="00B9762A" w:rsidRDefault="002618FC" w:rsidP="002618FC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18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18FC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</w:rPr>
        <w:t>–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кешеннің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="0087658A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="0087658A">
        <w:rPr>
          <w:rFonts w:ascii="Times New Roman" w:hAnsi="Times New Roman" w:cs="Times New Roman"/>
          <w:sz w:val="28"/>
          <w:szCs w:val="28"/>
        </w:rPr>
        <w:t>ғы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</w:rPr>
        <w:t>–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658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9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7658A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658A">
        <w:rPr>
          <w:rFonts w:ascii="Times New Roman" w:hAnsi="Times New Roman" w:cs="Times New Roman"/>
          <w:sz w:val="28"/>
          <w:szCs w:val="28"/>
        </w:rPr>
        <w:t>кешенге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658A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618FC">
        <w:rPr>
          <w:rFonts w:ascii="Times New Roman" w:hAnsi="Times New Roman" w:cs="Times New Roman"/>
          <w:sz w:val="28"/>
          <w:szCs w:val="28"/>
        </w:rPr>
        <w:t>нгізілген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18FC">
        <w:rPr>
          <w:rFonts w:ascii="Times New Roman" w:hAnsi="Times New Roman" w:cs="Times New Roman"/>
          <w:sz w:val="28"/>
          <w:szCs w:val="28"/>
        </w:rPr>
        <w:t xml:space="preserve"> мен </w:t>
      </w:r>
      <w:r w:rsidR="000319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18FC">
        <w:rPr>
          <w:rFonts w:ascii="Times New Roman" w:hAnsi="Times New Roman" w:cs="Times New Roman"/>
          <w:sz w:val="28"/>
          <w:szCs w:val="28"/>
        </w:rPr>
        <w:t>толықтырулар</w:t>
      </w:r>
      <w:proofErr w:type="spellEnd"/>
      <w:r w:rsidRPr="002618FC">
        <w:rPr>
          <w:rFonts w:ascii="Times New Roman" w:hAnsi="Times New Roman" w:cs="Times New Roman"/>
          <w:sz w:val="28"/>
          <w:szCs w:val="28"/>
        </w:rPr>
        <w:t>.</w:t>
      </w:r>
    </w:p>
    <w:sectPr w:rsidR="00671BBD" w:rsidRPr="00B9762A" w:rsidSect="00B97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6F4"/>
    <w:rsid w:val="000319D1"/>
    <w:rsid w:val="001504B3"/>
    <w:rsid w:val="00192C4C"/>
    <w:rsid w:val="00201EFD"/>
    <w:rsid w:val="002618FC"/>
    <w:rsid w:val="003779E4"/>
    <w:rsid w:val="003F3F5D"/>
    <w:rsid w:val="0052341B"/>
    <w:rsid w:val="00561B52"/>
    <w:rsid w:val="00615CD3"/>
    <w:rsid w:val="00671BBD"/>
    <w:rsid w:val="0087658A"/>
    <w:rsid w:val="009C53A5"/>
    <w:rsid w:val="009F1AA7"/>
    <w:rsid w:val="00A44A8B"/>
    <w:rsid w:val="00AE5CB5"/>
    <w:rsid w:val="00B9762A"/>
    <w:rsid w:val="00C94D77"/>
    <w:rsid w:val="00CC741D"/>
    <w:rsid w:val="00CE26F4"/>
    <w:rsid w:val="00FA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3"/>
  </w:style>
  <w:style w:type="paragraph" w:styleId="1">
    <w:name w:val="heading 1"/>
    <w:basedOn w:val="a"/>
    <w:next w:val="a"/>
    <w:link w:val="10"/>
    <w:qFormat/>
    <w:rsid w:val="003F3F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F3F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6F4"/>
  </w:style>
  <w:style w:type="character" w:styleId="a4">
    <w:name w:val="Strong"/>
    <w:basedOn w:val="a0"/>
    <w:uiPriority w:val="22"/>
    <w:qFormat/>
    <w:rsid w:val="00CE26F4"/>
    <w:rPr>
      <w:b/>
      <w:bCs/>
    </w:rPr>
  </w:style>
  <w:style w:type="character" w:customStyle="1" w:styleId="10">
    <w:name w:val="Заголовок 1 Знак"/>
    <w:basedOn w:val="a0"/>
    <w:link w:val="1"/>
    <w:rsid w:val="003F3F5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F3F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3F3F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6">
    <w:name w:val="Название Знак"/>
    <w:basedOn w:val="a0"/>
    <w:link w:val="a5"/>
    <w:rsid w:val="003F3F5D"/>
    <w:rPr>
      <w:rFonts w:ascii="Times New Roman" w:eastAsia="Times New Roman" w:hAnsi="Times New Roman" w:cs="Times New Roman"/>
      <w:sz w:val="28"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14</cp:revision>
  <dcterms:created xsi:type="dcterms:W3CDTF">2017-06-09T07:49:00Z</dcterms:created>
  <dcterms:modified xsi:type="dcterms:W3CDTF">2018-10-17T11:50:00Z</dcterms:modified>
</cp:coreProperties>
</file>